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E7BA89" w14:textId="7A951B1E" w:rsidR="00E923F3" w:rsidRDefault="0051666E" w:rsidP="0051666E">
      <w:pPr>
        <w:jc w:val="center"/>
        <w:rPr>
          <w:b/>
          <w:bCs/>
        </w:rPr>
      </w:pPr>
      <w:r>
        <w:rPr>
          <w:b/>
          <w:bCs/>
        </w:rPr>
        <w:t>Lorne Football Netball Club</w:t>
      </w:r>
    </w:p>
    <w:p w14:paraId="01C892E3" w14:textId="40FF97A1" w:rsidR="0051666E" w:rsidRDefault="0051666E" w:rsidP="0051666E">
      <w:pPr>
        <w:jc w:val="center"/>
        <w:rPr>
          <w:b/>
          <w:bCs/>
        </w:rPr>
      </w:pPr>
      <w:r>
        <w:rPr>
          <w:b/>
          <w:bCs/>
        </w:rPr>
        <w:t>Treasurer’s Report</w:t>
      </w:r>
    </w:p>
    <w:p w14:paraId="582BD06E" w14:textId="77777777" w:rsidR="0051666E" w:rsidRDefault="0051666E" w:rsidP="0051666E">
      <w:pPr>
        <w:rPr>
          <w:b/>
          <w:bCs/>
        </w:rPr>
      </w:pPr>
    </w:p>
    <w:p w14:paraId="3FCC8103" w14:textId="66329226" w:rsidR="0051666E" w:rsidRDefault="0051666E" w:rsidP="0051666E">
      <w:r>
        <w:t>After a stellar year on the field to come home with the premiership cup, in the background a lot of hard work and a lot of money has been expended.</w:t>
      </w:r>
    </w:p>
    <w:p w14:paraId="35ABEDF7" w14:textId="77777777" w:rsidR="0051666E" w:rsidRDefault="0051666E" w:rsidP="0051666E"/>
    <w:p w14:paraId="454F4FE1" w14:textId="02CEEBD4" w:rsidR="0051666E" w:rsidRDefault="0051666E" w:rsidP="0051666E">
      <w:pPr>
        <w:rPr>
          <w:b/>
          <w:bCs/>
        </w:rPr>
      </w:pPr>
      <w:r>
        <w:rPr>
          <w:b/>
          <w:bCs/>
        </w:rPr>
        <w:t>Bar &amp; Canteen</w:t>
      </w:r>
    </w:p>
    <w:p w14:paraId="2EA7B728" w14:textId="77777777" w:rsidR="0051666E" w:rsidRDefault="0051666E" w:rsidP="0051666E">
      <w:pPr>
        <w:rPr>
          <w:b/>
          <w:bCs/>
        </w:rPr>
      </w:pPr>
    </w:p>
    <w:p w14:paraId="5EE7C726" w14:textId="18493F87" w:rsidR="0051666E" w:rsidRDefault="0051666E" w:rsidP="0051666E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2024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2023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3"/>
        <w:gridCol w:w="3003"/>
        <w:gridCol w:w="3004"/>
      </w:tblGrid>
      <w:tr w:rsidR="0051666E" w14:paraId="0146B809" w14:textId="77777777" w:rsidTr="0051666E">
        <w:tc>
          <w:tcPr>
            <w:tcW w:w="3003" w:type="dxa"/>
          </w:tcPr>
          <w:p w14:paraId="5A059CCE" w14:textId="241CFA7B" w:rsidR="0051666E" w:rsidRDefault="0051666E" w:rsidP="0051666E">
            <w:r>
              <w:t>Total Revenue</w:t>
            </w:r>
          </w:p>
        </w:tc>
        <w:tc>
          <w:tcPr>
            <w:tcW w:w="3003" w:type="dxa"/>
          </w:tcPr>
          <w:p w14:paraId="245D7BC1" w14:textId="06633827" w:rsidR="0051666E" w:rsidRDefault="0051666E" w:rsidP="0051666E">
            <w:pPr>
              <w:jc w:val="center"/>
            </w:pPr>
            <w:r>
              <w:t>$76,724</w:t>
            </w:r>
          </w:p>
        </w:tc>
        <w:tc>
          <w:tcPr>
            <w:tcW w:w="3004" w:type="dxa"/>
          </w:tcPr>
          <w:p w14:paraId="31616AB0" w14:textId="780EE979" w:rsidR="0051666E" w:rsidRDefault="0051666E" w:rsidP="0051666E">
            <w:pPr>
              <w:jc w:val="center"/>
            </w:pPr>
            <w:r>
              <w:t>$63,462</w:t>
            </w:r>
          </w:p>
        </w:tc>
      </w:tr>
      <w:tr w:rsidR="0051666E" w14:paraId="5B4FD8DD" w14:textId="77777777" w:rsidTr="0051666E">
        <w:tc>
          <w:tcPr>
            <w:tcW w:w="3003" w:type="dxa"/>
          </w:tcPr>
          <w:p w14:paraId="110ED96F" w14:textId="47C5CF15" w:rsidR="0051666E" w:rsidRDefault="0051666E" w:rsidP="0051666E">
            <w:r>
              <w:t>Cost of Goods Sold</w:t>
            </w:r>
          </w:p>
        </w:tc>
        <w:tc>
          <w:tcPr>
            <w:tcW w:w="3003" w:type="dxa"/>
          </w:tcPr>
          <w:p w14:paraId="01B83898" w14:textId="25BB2570" w:rsidR="0051666E" w:rsidRDefault="0051666E" w:rsidP="0051666E">
            <w:pPr>
              <w:jc w:val="center"/>
            </w:pPr>
            <w:r>
              <w:t>$48,158</w:t>
            </w:r>
          </w:p>
        </w:tc>
        <w:tc>
          <w:tcPr>
            <w:tcW w:w="3004" w:type="dxa"/>
          </w:tcPr>
          <w:p w14:paraId="135FBFDA" w14:textId="078B1E45" w:rsidR="0051666E" w:rsidRDefault="0051666E" w:rsidP="0051666E">
            <w:pPr>
              <w:jc w:val="center"/>
            </w:pPr>
            <w:r>
              <w:t>$44,427</w:t>
            </w:r>
          </w:p>
        </w:tc>
      </w:tr>
      <w:tr w:rsidR="0051666E" w:rsidRPr="00302C2F" w14:paraId="1DF96405" w14:textId="77777777" w:rsidTr="0051666E">
        <w:tc>
          <w:tcPr>
            <w:tcW w:w="3003" w:type="dxa"/>
          </w:tcPr>
          <w:p w14:paraId="213F7423" w14:textId="13617B55" w:rsidR="0051666E" w:rsidRPr="00302C2F" w:rsidRDefault="0051666E" w:rsidP="0051666E">
            <w:pPr>
              <w:rPr>
                <w:b/>
                <w:bCs/>
              </w:rPr>
            </w:pPr>
            <w:r w:rsidRPr="00302C2F">
              <w:rPr>
                <w:b/>
                <w:bCs/>
              </w:rPr>
              <w:t>Gross Profit</w:t>
            </w:r>
          </w:p>
        </w:tc>
        <w:tc>
          <w:tcPr>
            <w:tcW w:w="3003" w:type="dxa"/>
          </w:tcPr>
          <w:p w14:paraId="1A57166B" w14:textId="3095AA55" w:rsidR="0051666E" w:rsidRPr="00302C2F" w:rsidRDefault="0051666E" w:rsidP="0051666E">
            <w:pPr>
              <w:jc w:val="center"/>
              <w:rPr>
                <w:b/>
                <w:bCs/>
              </w:rPr>
            </w:pPr>
            <w:r w:rsidRPr="00302C2F">
              <w:rPr>
                <w:b/>
                <w:bCs/>
              </w:rPr>
              <w:t>$28,566</w:t>
            </w:r>
          </w:p>
        </w:tc>
        <w:tc>
          <w:tcPr>
            <w:tcW w:w="3004" w:type="dxa"/>
          </w:tcPr>
          <w:p w14:paraId="1A03C716" w14:textId="4AD28C62" w:rsidR="0051666E" w:rsidRPr="00302C2F" w:rsidRDefault="0051666E" w:rsidP="0051666E">
            <w:pPr>
              <w:jc w:val="center"/>
              <w:rPr>
                <w:b/>
                <w:bCs/>
              </w:rPr>
            </w:pPr>
            <w:r w:rsidRPr="00302C2F">
              <w:rPr>
                <w:b/>
                <w:bCs/>
              </w:rPr>
              <w:t>$19,036</w:t>
            </w:r>
          </w:p>
        </w:tc>
      </w:tr>
    </w:tbl>
    <w:p w14:paraId="4D0582A1" w14:textId="77777777" w:rsidR="0051666E" w:rsidRDefault="0051666E" w:rsidP="0051666E">
      <w:pPr>
        <w:rPr>
          <w:b/>
          <w:bCs/>
        </w:rPr>
      </w:pPr>
    </w:p>
    <w:p w14:paraId="6B175221" w14:textId="6711874F" w:rsidR="001F12C2" w:rsidRDefault="001F12C2" w:rsidP="0051666E">
      <w:r>
        <w:t>Sales were up for the year for both the Bar and Canteen activities resulting in a pleasing increase in gross profit of $9,530 or 50%.</w:t>
      </w:r>
    </w:p>
    <w:p w14:paraId="37D4BEB2" w14:textId="77777777" w:rsidR="001F12C2" w:rsidRDefault="001F12C2" w:rsidP="0051666E"/>
    <w:p w14:paraId="7ED740B9" w14:textId="4B064683" w:rsidR="001F12C2" w:rsidRDefault="001F12C2" w:rsidP="0051666E">
      <w:pPr>
        <w:rPr>
          <w:b/>
          <w:bCs/>
        </w:rPr>
      </w:pPr>
      <w:r>
        <w:rPr>
          <w:b/>
          <w:bCs/>
        </w:rPr>
        <w:t>Total Income</w:t>
      </w:r>
    </w:p>
    <w:p w14:paraId="512716AF" w14:textId="77777777" w:rsidR="001F12C2" w:rsidRDefault="001F12C2" w:rsidP="0051666E">
      <w:pPr>
        <w:rPr>
          <w:b/>
          <w:bCs/>
        </w:rPr>
      </w:pPr>
    </w:p>
    <w:p w14:paraId="0BCF9240" w14:textId="477DAB42" w:rsidR="001F12C2" w:rsidRDefault="001F12C2" w:rsidP="0051666E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2024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2023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3"/>
        <w:gridCol w:w="3003"/>
        <w:gridCol w:w="3004"/>
      </w:tblGrid>
      <w:tr w:rsidR="001F12C2" w:rsidRPr="001F12C2" w14:paraId="49C37DF9" w14:textId="77777777" w:rsidTr="001F12C2">
        <w:tc>
          <w:tcPr>
            <w:tcW w:w="3003" w:type="dxa"/>
          </w:tcPr>
          <w:p w14:paraId="1FE24C33" w14:textId="2D71D640" w:rsidR="001F12C2" w:rsidRPr="001F12C2" w:rsidRDefault="001F12C2" w:rsidP="0051666E">
            <w:pPr>
              <w:rPr>
                <w:b/>
                <w:bCs/>
              </w:rPr>
            </w:pPr>
            <w:r w:rsidRPr="001F12C2">
              <w:rPr>
                <w:b/>
                <w:bCs/>
              </w:rPr>
              <w:t>Income from Activities</w:t>
            </w:r>
          </w:p>
        </w:tc>
        <w:tc>
          <w:tcPr>
            <w:tcW w:w="3003" w:type="dxa"/>
          </w:tcPr>
          <w:p w14:paraId="479213FF" w14:textId="1FB99A6E" w:rsidR="001F12C2" w:rsidRPr="001F12C2" w:rsidRDefault="001F12C2" w:rsidP="001F12C2">
            <w:pPr>
              <w:jc w:val="center"/>
            </w:pPr>
            <w:r>
              <w:t>$212,001</w:t>
            </w:r>
          </w:p>
        </w:tc>
        <w:tc>
          <w:tcPr>
            <w:tcW w:w="3004" w:type="dxa"/>
          </w:tcPr>
          <w:p w14:paraId="4A1604D0" w14:textId="4EB9A4E8" w:rsidR="001F12C2" w:rsidRPr="001F12C2" w:rsidRDefault="001F12C2" w:rsidP="001F12C2">
            <w:pPr>
              <w:jc w:val="center"/>
            </w:pPr>
            <w:r>
              <w:t>$344,321</w:t>
            </w:r>
          </w:p>
        </w:tc>
      </w:tr>
    </w:tbl>
    <w:p w14:paraId="3215AB5C" w14:textId="77777777" w:rsidR="001F12C2" w:rsidRDefault="001F12C2" w:rsidP="001F12C2"/>
    <w:p w14:paraId="455A2FEF" w14:textId="63557333" w:rsidR="001F12C2" w:rsidRDefault="00E23378" w:rsidP="001F12C2">
      <w:r>
        <w:t xml:space="preserve">Overall income for the year was down by $132,320 or 38%. The key factors impacting this result </w:t>
      </w:r>
      <w:r w:rsidR="00BE3468">
        <w:t>was the fact that the Celebrity Night was not held in the 2024 season. This resulted in no income from the sale of auction items ($56,308 in 2023), a drop in donations, a drop in fundraising and a drop in sponsorships.</w:t>
      </w:r>
    </w:p>
    <w:p w14:paraId="611BCC55" w14:textId="554F9D18" w:rsidR="00BE3468" w:rsidRDefault="00BE3468" w:rsidP="001F12C2">
      <w:r>
        <w:t>A renewed focused will need to be adopted for the 2025 season to see a turnaround of this situation.</w:t>
      </w:r>
    </w:p>
    <w:p w14:paraId="45987873" w14:textId="77777777" w:rsidR="00BE3468" w:rsidRDefault="00BE3468" w:rsidP="001F12C2"/>
    <w:p w14:paraId="2A5E8DFC" w14:textId="49ADD61B" w:rsidR="00BE3468" w:rsidRDefault="00BE3468" w:rsidP="001F12C2">
      <w:pPr>
        <w:rPr>
          <w:b/>
          <w:bCs/>
        </w:rPr>
      </w:pPr>
      <w:r>
        <w:rPr>
          <w:b/>
          <w:bCs/>
        </w:rPr>
        <w:t>Expenses &amp; Current Year Surplus/(Deficit</w:t>
      </w:r>
      <w:r w:rsidR="0025510B">
        <w:rPr>
          <w:b/>
          <w:bCs/>
        </w:rPr>
        <w:t>)</w:t>
      </w:r>
    </w:p>
    <w:p w14:paraId="4A77835C" w14:textId="77777777" w:rsidR="0025510B" w:rsidRDefault="0025510B" w:rsidP="001F12C2">
      <w:pPr>
        <w:rPr>
          <w:b/>
          <w:bCs/>
        </w:rPr>
      </w:pPr>
    </w:p>
    <w:p w14:paraId="57F3347A" w14:textId="39528B7B" w:rsidR="0025510B" w:rsidRDefault="0025510B" w:rsidP="001F12C2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2024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2023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3"/>
        <w:gridCol w:w="3003"/>
        <w:gridCol w:w="3004"/>
      </w:tblGrid>
      <w:tr w:rsidR="0025510B" w14:paraId="787EA9EA" w14:textId="77777777" w:rsidTr="0025510B">
        <w:tc>
          <w:tcPr>
            <w:tcW w:w="3003" w:type="dxa"/>
          </w:tcPr>
          <w:p w14:paraId="23E945A4" w14:textId="1E4EF8E4" w:rsidR="0025510B" w:rsidRDefault="0025510B" w:rsidP="001F12C2">
            <w:r>
              <w:t>Total Expenditure</w:t>
            </w:r>
          </w:p>
        </w:tc>
        <w:tc>
          <w:tcPr>
            <w:tcW w:w="3003" w:type="dxa"/>
          </w:tcPr>
          <w:p w14:paraId="47215EDF" w14:textId="252D00BA" w:rsidR="0025510B" w:rsidRDefault="0025510B" w:rsidP="0025510B">
            <w:pPr>
              <w:jc w:val="center"/>
            </w:pPr>
            <w:r>
              <w:t>$261,484</w:t>
            </w:r>
          </w:p>
        </w:tc>
        <w:tc>
          <w:tcPr>
            <w:tcW w:w="3004" w:type="dxa"/>
          </w:tcPr>
          <w:p w14:paraId="664176FD" w14:textId="13F8AF79" w:rsidR="0025510B" w:rsidRDefault="0025510B" w:rsidP="0025510B">
            <w:pPr>
              <w:jc w:val="center"/>
            </w:pPr>
            <w:r>
              <w:t>$253,993</w:t>
            </w:r>
          </w:p>
        </w:tc>
      </w:tr>
      <w:tr w:rsidR="0025510B" w:rsidRPr="0025510B" w14:paraId="4B8CB98F" w14:textId="77777777" w:rsidTr="0025510B">
        <w:tc>
          <w:tcPr>
            <w:tcW w:w="3003" w:type="dxa"/>
          </w:tcPr>
          <w:p w14:paraId="2E496654" w14:textId="2EEE97D5" w:rsidR="0025510B" w:rsidRPr="0025510B" w:rsidRDefault="0025510B" w:rsidP="001F12C2">
            <w:pPr>
              <w:rPr>
                <w:b/>
                <w:bCs/>
              </w:rPr>
            </w:pPr>
            <w:r w:rsidRPr="0025510B">
              <w:rPr>
                <w:b/>
                <w:bCs/>
              </w:rPr>
              <w:t>Surplus/(Deficit)</w:t>
            </w:r>
          </w:p>
        </w:tc>
        <w:tc>
          <w:tcPr>
            <w:tcW w:w="3003" w:type="dxa"/>
          </w:tcPr>
          <w:p w14:paraId="50E762C8" w14:textId="24B3016C" w:rsidR="0025510B" w:rsidRPr="0025510B" w:rsidRDefault="0025510B" w:rsidP="0025510B">
            <w:pPr>
              <w:jc w:val="center"/>
              <w:rPr>
                <w:b/>
                <w:bCs/>
              </w:rPr>
            </w:pPr>
            <w:r w:rsidRPr="0025510B">
              <w:rPr>
                <w:b/>
                <w:bCs/>
              </w:rPr>
              <w:t>($49,483)</w:t>
            </w:r>
          </w:p>
        </w:tc>
        <w:tc>
          <w:tcPr>
            <w:tcW w:w="3004" w:type="dxa"/>
          </w:tcPr>
          <w:p w14:paraId="57C56A52" w14:textId="24FE9552" w:rsidR="0025510B" w:rsidRPr="0025510B" w:rsidRDefault="0025510B" w:rsidP="0025510B">
            <w:pPr>
              <w:jc w:val="center"/>
              <w:rPr>
                <w:b/>
                <w:bCs/>
              </w:rPr>
            </w:pPr>
            <w:r w:rsidRPr="0025510B">
              <w:rPr>
                <w:b/>
                <w:bCs/>
              </w:rPr>
              <w:t>$90,328</w:t>
            </w:r>
          </w:p>
        </w:tc>
      </w:tr>
    </w:tbl>
    <w:p w14:paraId="7DD70CC4" w14:textId="77777777" w:rsidR="0025510B" w:rsidRPr="0025510B" w:rsidRDefault="0025510B" w:rsidP="001F12C2">
      <w:pPr>
        <w:rPr>
          <w:b/>
          <w:bCs/>
        </w:rPr>
      </w:pPr>
    </w:p>
    <w:p w14:paraId="55B34022" w14:textId="507B949D" w:rsidR="0025510B" w:rsidRDefault="008A00B8">
      <w:r>
        <w:t xml:space="preserve">Expenditure for the year was </w:t>
      </w:r>
      <w:r w:rsidR="00B02E46">
        <w:t>broadly</w:t>
      </w:r>
      <w:r>
        <w:t xml:space="preserve"> in line with </w:t>
      </w:r>
      <w:r w:rsidR="00B02E46">
        <w:t>2023, increasing by only 3%. Increases in football expenses like coaching payments and trainers were somewhat offset by a reduction in player payments for the year.</w:t>
      </w:r>
    </w:p>
    <w:p w14:paraId="37916FCE" w14:textId="24717ED6" w:rsidR="00B02E46" w:rsidRDefault="001D5ECE">
      <w:r>
        <w:t>Ultimately though</w:t>
      </w:r>
      <w:r w:rsidR="00D41C8C">
        <w:t>,</w:t>
      </w:r>
      <w:r>
        <w:t xml:space="preserve"> with the </w:t>
      </w:r>
      <w:r w:rsidR="00D77F90">
        <w:t>dual</w:t>
      </w:r>
      <w:r>
        <w:t xml:space="preserve"> impact of a reduction in revenue and an increase in costs, the net result for the year was a deficit of </w:t>
      </w:r>
      <w:r>
        <w:rPr>
          <w:b/>
          <w:bCs/>
        </w:rPr>
        <w:t>$49,483</w:t>
      </w:r>
      <w:r>
        <w:t>.</w:t>
      </w:r>
    </w:p>
    <w:p w14:paraId="1BC4AB45" w14:textId="77777777" w:rsidR="001D5ECE" w:rsidRDefault="001D5ECE"/>
    <w:p w14:paraId="74129ABE" w14:textId="658401C4" w:rsidR="001D5ECE" w:rsidRDefault="001D5ECE">
      <w:pPr>
        <w:rPr>
          <w:b/>
          <w:bCs/>
        </w:rPr>
      </w:pPr>
      <w:r>
        <w:rPr>
          <w:b/>
          <w:bCs/>
        </w:rPr>
        <w:t>Balance Sheet</w:t>
      </w:r>
    </w:p>
    <w:p w14:paraId="007B53BC" w14:textId="64EE51F0" w:rsidR="007B3199" w:rsidRDefault="007B3199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2024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2023</w:t>
      </w:r>
    </w:p>
    <w:p w14:paraId="625C6D11" w14:textId="77777777" w:rsidR="0055617B" w:rsidRDefault="0055617B">
      <w:pPr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3"/>
        <w:gridCol w:w="3003"/>
        <w:gridCol w:w="3004"/>
      </w:tblGrid>
      <w:tr w:rsidR="007B3199" w14:paraId="28B8C489" w14:textId="77777777" w:rsidTr="007B3199">
        <w:tc>
          <w:tcPr>
            <w:tcW w:w="3003" w:type="dxa"/>
          </w:tcPr>
          <w:p w14:paraId="6C49FDF2" w14:textId="796EFCC1" w:rsidR="007B3199" w:rsidRDefault="007B3199">
            <w:r>
              <w:t>Bendigo Trading Account</w:t>
            </w:r>
          </w:p>
        </w:tc>
        <w:tc>
          <w:tcPr>
            <w:tcW w:w="3003" w:type="dxa"/>
          </w:tcPr>
          <w:p w14:paraId="6DA01D27" w14:textId="4F5D05B1" w:rsidR="007B3199" w:rsidRDefault="007B3199" w:rsidP="007B3199">
            <w:pPr>
              <w:jc w:val="center"/>
            </w:pPr>
            <w:r>
              <w:t>$36,501</w:t>
            </w:r>
          </w:p>
        </w:tc>
        <w:tc>
          <w:tcPr>
            <w:tcW w:w="3004" w:type="dxa"/>
          </w:tcPr>
          <w:p w14:paraId="328B6545" w14:textId="3052EF6D" w:rsidR="007B3199" w:rsidRDefault="007B3199" w:rsidP="007B3199">
            <w:pPr>
              <w:jc w:val="center"/>
            </w:pPr>
            <w:r>
              <w:t>18,910</w:t>
            </w:r>
          </w:p>
        </w:tc>
      </w:tr>
      <w:tr w:rsidR="007B3199" w14:paraId="0CDF4C76" w14:textId="77777777" w:rsidTr="007B3199">
        <w:tc>
          <w:tcPr>
            <w:tcW w:w="3003" w:type="dxa"/>
          </w:tcPr>
          <w:p w14:paraId="535885A6" w14:textId="2D49FB85" w:rsidR="007B3199" w:rsidRDefault="007B3199">
            <w:r>
              <w:t>Sandhurst Trustees</w:t>
            </w:r>
          </w:p>
        </w:tc>
        <w:tc>
          <w:tcPr>
            <w:tcW w:w="3003" w:type="dxa"/>
          </w:tcPr>
          <w:p w14:paraId="060C0EE5" w14:textId="58FF3458" w:rsidR="007B3199" w:rsidRDefault="007B3199" w:rsidP="007B3199">
            <w:pPr>
              <w:jc w:val="center"/>
            </w:pPr>
            <w:r>
              <w:t>$246,314</w:t>
            </w:r>
          </w:p>
        </w:tc>
        <w:tc>
          <w:tcPr>
            <w:tcW w:w="3004" w:type="dxa"/>
          </w:tcPr>
          <w:p w14:paraId="17A415A6" w14:textId="2503EBBD" w:rsidR="007B3199" w:rsidRDefault="007B3199" w:rsidP="007B3199">
            <w:pPr>
              <w:jc w:val="center"/>
            </w:pPr>
            <w:r>
              <w:t>264,796</w:t>
            </w:r>
          </w:p>
        </w:tc>
      </w:tr>
      <w:tr w:rsidR="007B3199" w14:paraId="5C579673" w14:textId="77777777" w:rsidTr="007B3199">
        <w:tc>
          <w:tcPr>
            <w:tcW w:w="3003" w:type="dxa"/>
          </w:tcPr>
          <w:p w14:paraId="6D850575" w14:textId="1FA46431" w:rsidR="007B3199" w:rsidRDefault="007B3199">
            <w:r>
              <w:t>Floats</w:t>
            </w:r>
          </w:p>
        </w:tc>
        <w:tc>
          <w:tcPr>
            <w:tcW w:w="3003" w:type="dxa"/>
          </w:tcPr>
          <w:p w14:paraId="232F5B5B" w14:textId="1AA924BE" w:rsidR="007B3199" w:rsidRDefault="007B3199" w:rsidP="007B3199">
            <w:pPr>
              <w:jc w:val="center"/>
            </w:pPr>
            <w:r>
              <w:t>$6,100</w:t>
            </w:r>
          </w:p>
        </w:tc>
        <w:tc>
          <w:tcPr>
            <w:tcW w:w="3004" w:type="dxa"/>
          </w:tcPr>
          <w:p w14:paraId="6AD083A7" w14:textId="413D51D1" w:rsidR="007B3199" w:rsidRDefault="007B3199" w:rsidP="007B3199">
            <w:pPr>
              <w:jc w:val="center"/>
            </w:pPr>
            <w:r>
              <w:t>$0</w:t>
            </w:r>
          </w:p>
        </w:tc>
      </w:tr>
      <w:tr w:rsidR="007B3199" w:rsidRPr="007B3199" w14:paraId="4DD298E3" w14:textId="77777777" w:rsidTr="007B3199">
        <w:tc>
          <w:tcPr>
            <w:tcW w:w="3003" w:type="dxa"/>
          </w:tcPr>
          <w:p w14:paraId="1E43AE46" w14:textId="5DA88840" w:rsidR="007B3199" w:rsidRPr="007B3199" w:rsidRDefault="007B3199">
            <w:pPr>
              <w:rPr>
                <w:b/>
                <w:bCs/>
              </w:rPr>
            </w:pPr>
            <w:r>
              <w:rPr>
                <w:b/>
                <w:bCs/>
              </w:rPr>
              <w:t>Cash &amp; Cash Equivalents</w:t>
            </w:r>
          </w:p>
        </w:tc>
        <w:tc>
          <w:tcPr>
            <w:tcW w:w="3003" w:type="dxa"/>
          </w:tcPr>
          <w:p w14:paraId="258165A2" w14:textId="647DD8FD" w:rsidR="007B3199" w:rsidRPr="007B3199" w:rsidRDefault="007B3199" w:rsidP="007B319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$288,915</w:t>
            </w:r>
          </w:p>
        </w:tc>
        <w:tc>
          <w:tcPr>
            <w:tcW w:w="3004" w:type="dxa"/>
          </w:tcPr>
          <w:p w14:paraId="7024C626" w14:textId="7A69E46B" w:rsidR="007B3199" w:rsidRPr="007B3199" w:rsidRDefault="007B3199" w:rsidP="007B319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$283,706</w:t>
            </w:r>
          </w:p>
        </w:tc>
      </w:tr>
      <w:tr w:rsidR="00753513" w:rsidRPr="007B3199" w14:paraId="58828029" w14:textId="77777777" w:rsidTr="007B3199">
        <w:tc>
          <w:tcPr>
            <w:tcW w:w="3003" w:type="dxa"/>
          </w:tcPr>
          <w:p w14:paraId="38CBF21B" w14:textId="3FA04E85" w:rsidR="00753513" w:rsidRDefault="00753513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Trade Payables</w:t>
            </w:r>
          </w:p>
        </w:tc>
        <w:tc>
          <w:tcPr>
            <w:tcW w:w="3003" w:type="dxa"/>
          </w:tcPr>
          <w:p w14:paraId="0313C8D5" w14:textId="397A3CBE" w:rsidR="00753513" w:rsidRDefault="00753513" w:rsidP="007B319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$60,176</w:t>
            </w:r>
          </w:p>
        </w:tc>
        <w:tc>
          <w:tcPr>
            <w:tcW w:w="3004" w:type="dxa"/>
          </w:tcPr>
          <w:p w14:paraId="290C50BF" w14:textId="50FC4408" w:rsidR="00753513" w:rsidRDefault="00753513" w:rsidP="007B319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$10,926</w:t>
            </w:r>
          </w:p>
        </w:tc>
      </w:tr>
      <w:tr w:rsidR="00753513" w:rsidRPr="007B3199" w14:paraId="6B7808E2" w14:textId="77777777" w:rsidTr="007B3199">
        <w:tc>
          <w:tcPr>
            <w:tcW w:w="3003" w:type="dxa"/>
          </w:tcPr>
          <w:p w14:paraId="6EDB0FA6" w14:textId="3C045FFC" w:rsidR="00753513" w:rsidRDefault="00753513">
            <w:pPr>
              <w:rPr>
                <w:b/>
                <w:bCs/>
              </w:rPr>
            </w:pPr>
            <w:r>
              <w:rPr>
                <w:b/>
                <w:bCs/>
              </w:rPr>
              <w:t>Total Members</w:t>
            </w:r>
            <w:r w:rsidR="00713991">
              <w:rPr>
                <w:b/>
                <w:bCs/>
              </w:rPr>
              <w:t>’ Funds</w:t>
            </w:r>
          </w:p>
        </w:tc>
        <w:tc>
          <w:tcPr>
            <w:tcW w:w="3003" w:type="dxa"/>
          </w:tcPr>
          <w:p w14:paraId="64F43E4D" w14:textId="3E8202C4" w:rsidR="00753513" w:rsidRDefault="00753513" w:rsidP="007B319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$390,306</w:t>
            </w:r>
          </w:p>
        </w:tc>
        <w:tc>
          <w:tcPr>
            <w:tcW w:w="3004" w:type="dxa"/>
          </w:tcPr>
          <w:p w14:paraId="0906F880" w14:textId="75F77B68" w:rsidR="00753513" w:rsidRDefault="00753513" w:rsidP="007B319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$439,789</w:t>
            </w:r>
          </w:p>
        </w:tc>
      </w:tr>
    </w:tbl>
    <w:p w14:paraId="02EB0D18" w14:textId="77777777" w:rsidR="0055617B" w:rsidRDefault="0055617B"/>
    <w:p w14:paraId="29B199BE" w14:textId="12F69B07" w:rsidR="00753513" w:rsidRDefault="00753513">
      <w:r>
        <w:t xml:space="preserve">The bottom line from the year’s trading has seen a fall in total members’ funds of </w:t>
      </w:r>
      <w:r w:rsidRPr="00992E24">
        <w:rPr>
          <w:b/>
          <w:bCs/>
        </w:rPr>
        <w:t>$49,</w:t>
      </w:r>
      <w:r w:rsidR="00992E24" w:rsidRPr="00992E24">
        <w:rPr>
          <w:b/>
          <w:bCs/>
        </w:rPr>
        <w:t>483</w:t>
      </w:r>
      <w:r w:rsidR="00992E24">
        <w:t>. Although available cash is $23,691 greater than at the end of 2023, the balance of the investment account has reduced by $18,482.</w:t>
      </w:r>
      <w:r w:rsidR="00E81C37">
        <w:t xml:space="preserve"> Further to this, creditors at the end of 2024 are $49,250 greater than at the end of 2023 indicating a declining cash position.</w:t>
      </w:r>
    </w:p>
    <w:p w14:paraId="56B3E2F3" w14:textId="77777777" w:rsidR="00D41C8C" w:rsidRDefault="00D41C8C"/>
    <w:p w14:paraId="4C088C5A" w14:textId="2C2DF878" w:rsidR="00D41C8C" w:rsidRPr="0055617B" w:rsidRDefault="00D41C8C">
      <w:r>
        <w:t>I think that this highlights the constant need to focus on sponsorships and fundraising to keep the club in a continuing strong financial position. Here’s to a very successful 2025.</w:t>
      </w:r>
    </w:p>
    <w:sectPr w:rsidR="00D41C8C" w:rsidRPr="0055617B" w:rsidSect="00C50C11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66E"/>
    <w:rsid w:val="001D5ECE"/>
    <w:rsid w:val="001F12C2"/>
    <w:rsid w:val="0025510B"/>
    <w:rsid w:val="00302C2F"/>
    <w:rsid w:val="0051666E"/>
    <w:rsid w:val="0055617B"/>
    <w:rsid w:val="0062288B"/>
    <w:rsid w:val="00713991"/>
    <w:rsid w:val="00753513"/>
    <w:rsid w:val="007B3199"/>
    <w:rsid w:val="008A00B8"/>
    <w:rsid w:val="00992E24"/>
    <w:rsid w:val="00AE09DF"/>
    <w:rsid w:val="00B02E46"/>
    <w:rsid w:val="00B709C5"/>
    <w:rsid w:val="00BE3468"/>
    <w:rsid w:val="00C50C11"/>
    <w:rsid w:val="00D41C8C"/>
    <w:rsid w:val="00D77F90"/>
    <w:rsid w:val="00DE659E"/>
    <w:rsid w:val="00E23378"/>
    <w:rsid w:val="00E81C37"/>
    <w:rsid w:val="00E92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E260C3E"/>
  <w15:chartTrackingRefBased/>
  <w15:docId w15:val="{7467C6AD-36CE-A04D-9344-52A93CF46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1666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166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1666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1666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1666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1666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1666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1666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1666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1666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1666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1666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1666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1666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1666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1666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1666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1666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1666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166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1666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1666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1666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1666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1666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1666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1666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1666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1666E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5166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333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Coumans</dc:creator>
  <cp:keywords/>
  <dc:description/>
  <cp:lastModifiedBy>Richard Coumans</cp:lastModifiedBy>
  <cp:revision>13</cp:revision>
  <dcterms:created xsi:type="dcterms:W3CDTF">2024-11-28T03:52:00Z</dcterms:created>
  <dcterms:modified xsi:type="dcterms:W3CDTF">2024-11-28T04:58:00Z</dcterms:modified>
</cp:coreProperties>
</file>